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0AB54" w14:textId="77777777" w:rsidR="000F7281" w:rsidRPr="00BF2801" w:rsidRDefault="000F7281" w:rsidP="00BF2801">
      <w:pPr>
        <w:jc w:val="center"/>
        <w:rPr>
          <w:b/>
        </w:rPr>
      </w:pPr>
      <w:r w:rsidRPr="00BF2801">
        <w:rPr>
          <w:b/>
        </w:rPr>
        <w:t xml:space="preserve">BENEFITS </w:t>
      </w:r>
      <w:smartTag w:uri="urn:schemas-microsoft-com:office:smarttags" w:element="stockticker">
        <w:r w:rsidRPr="00BF2801">
          <w:rPr>
            <w:b/>
          </w:rPr>
          <w:t>AND</w:t>
        </w:r>
      </w:smartTag>
      <w:r w:rsidRPr="00BF2801">
        <w:rPr>
          <w:b/>
        </w:rPr>
        <w:t xml:space="preserve"> SAVINGS FROM SMOKING DECLINES IN </w:t>
      </w:r>
      <w:r w:rsidR="001162E5">
        <w:rPr>
          <w:b/>
          <w:caps/>
          <w:noProof/>
          <w:szCs w:val="22"/>
        </w:rPr>
        <w:t>IDAHO</w:t>
      </w:r>
    </w:p>
    <w:p w14:paraId="5A499619" w14:textId="77777777" w:rsidR="000F7281" w:rsidRPr="009B0064" w:rsidRDefault="000F7281" w:rsidP="00BF2801">
      <w:pPr>
        <w:rPr>
          <w:sz w:val="20"/>
          <w:szCs w:val="20"/>
        </w:rPr>
      </w:pPr>
    </w:p>
    <w:p w14:paraId="54101C17" w14:textId="77777777" w:rsidR="000F7281" w:rsidRDefault="000F7281" w:rsidP="000829A0">
      <w:r>
        <w:t xml:space="preserve">Smoking declines among adults in </w:t>
      </w:r>
      <w:r w:rsidR="001162E5">
        <w:rPr>
          <w:noProof/>
        </w:rPr>
        <w:t>Idaho</w:t>
      </w:r>
      <w:r>
        <w:t xml:space="preserve"> have sharply reduced the harms and costs caused by smoking in the </w:t>
      </w:r>
      <w:r>
        <w:rPr>
          <w:noProof/>
        </w:rPr>
        <w:t>State</w:t>
      </w:r>
      <w:r>
        <w:t>.</w:t>
      </w:r>
    </w:p>
    <w:p w14:paraId="0912847D" w14:textId="77777777" w:rsidR="000F7281" w:rsidRPr="00456B10" w:rsidRDefault="000F7281" w:rsidP="00BF2801">
      <w:pPr>
        <w:rPr>
          <w:sz w:val="18"/>
          <w:szCs w:val="18"/>
        </w:rPr>
      </w:pPr>
    </w:p>
    <w:p w14:paraId="267152A1" w14:textId="77777777" w:rsidR="000F7281" w:rsidRDefault="000F7281" w:rsidP="00BF2801">
      <w:pP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880"/>
        <w:gridCol w:w="1800"/>
        <w:gridCol w:w="1800"/>
        <w:gridCol w:w="1800"/>
      </w:tblGrid>
      <w:tr w:rsidR="00671147" w:rsidRPr="003435F7" w14:paraId="33915E55" w14:textId="77777777" w:rsidTr="00401A4C">
        <w:trPr>
          <w:jc w:val="center"/>
        </w:trPr>
        <w:tc>
          <w:tcPr>
            <w:tcW w:w="2880" w:type="dxa"/>
            <w:vAlign w:val="center"/>
          </w:tcPr>
          <w:p w14:paraId="647BAC33" w14:textId="77777777" w:rsidR="00671147" w:rsidRPr="003435F7" w:rsidRDefault="00671147" w:rsidP="00401A4C">
            <w:pPr>
              <w:spacing w:before="40" w:after="40"/>
              <w:rPr>
                <w:b/>
                <w:i/>
                <w:sz w:val="20"/>
                <w:szCs w:val="20"/>
                <w:u w:val="single"/>
              </w:rPr>
            </w:pPr>
          </w:p>
        </w:tc>
        <w:tc>
          <w:tcPr>
            <w:tcW w:w="1800" w:type="dxa"/>
            <w:vAlign w:val="center"/>
          </w:tcPr>
          <w:p w14:paraId="778A05D4" w14:textId="77777777" w:rsidR="00671147" w:rsidRPr="003435F7" w:rsidRDefault="00671147" w:rsidP="00401A4C">
            <w:pPr>
              <w:spacing w:before="40" w:after="40"/>
              <w:jc w:val="center"/>
              <w:rPr>
                <w:b/>
                <w:sz w:val="20"/>
                <w:szCs w:val="20"/>
                <w:u w:val="single"/>
              </w:rPr>
            </w:pPr>
            <w:r>
              <w:rPr>
                <w:b/>
                <w:noProof/>
                <w:sz w:val="20"/>
                <w:szCs w:val="20"/>
                <w:u w:val="single"/>
              </w:rPr>
              <w:t>2011</w:t>
            </w:r>
          </w:p>
        </w:tc>
        <w:tc>
          <w:tcPr>
            <w:tcW w:w="1800" w:type="dxa"/>
            <w:vAlign w:val="center"/>
          </w:tcPr>
          <w:p w14:paraId="050E860A" w14:textId="77777777" w:rsidR="00671147" w:rsidRPr="003435F7" w:rsidRDefault="00671147" w:rsidP="00401A4C">
            <w:pPr>
              <w:spacing w:before="40" w:after="40"/>
              <w:jc w:val="center"/>
              <w:rPr>
                <w:b/>
                <w:sz w:val="20"/>
                <w:szCs w:val="20"/>
                <w:u w:val="single"/>
              </w:rPr>
            </w:pPr>
            <w:r>
              <w:rPr>
                <w:b/>
                <w:sz w:val="20"/>
                <w:szCs w:val="20"/>
                <w:u w:val="single"/>
              </w:rPr>
              <w:t>201</w:t>
            </w:r>
            <w:r w:rsidR="00B66E94">
              <w:rPr>
                <w:b/>
                <w:sz w:val="20"/>
                <w:szCs w:val="20"/>
                <w:u w:val="single"/>
              </w:rPr>
              <w:t>9</w:t>
            </w:r>
          </w:p>
        </w:tc>
        <w:tc>
          <w:tcPr>
            <w:tcW w:w="1800" w:type="dxa"/>
            <w:vAlign w:val="center"/>
          </w:tcPr>
          <w:p w14:paraId="1938D007" w14:textId="77777777" w:rsidR="00671147" w:rsidRPr="003435F7" w:rsidRDefault="00671147" w:rsidP="00401A4C">
            <w:pPr>
              <w:spacing w:before="40" w:after="40"/>
              <w:jc w:val="center"/>
              <w:rPr>
                <w:b/>
                <w:sz w:val="20"/>
                <w:szCs w:val="20"/>
                <w:u w:val="single"/>
              </w:rPr>
            </w:pPr>
            <w:r w:rsidRPr="003435F7">
              <w:rPr>
                <w:b/>
                <w:sz w:val="20"/>
                <w:szCs w:val="20"/>
                <w:u w:val="single"/>
              </w:rPr>
              <w:t>Fewer Current Smokers</w:t>
            </w:r>
          </w:p>
        </w:tc>
      </w:tr>
      <w:tr w:rsidR="001162E5" w:rsidRPr="003435F7" w14:paraId="7E58A0C3" w14:textId="77777777" w:rsidTr="00401A4C">
        <w:trPr>
          <w:jc w:val="center"/>
        </w:trPr>
        <w:tc>
          <w:tcPr>
            <w:tcW w:w="2880" w:type="dxa"/>
            <w:vAlign w:val="center"/>
          </w:tcPr>
          <w:p w14:paraId="6ADCA8C9" w14:textId="77777777" w:rsidR="001162E5" w:rsidRPr="001162E5" w:rsidRDefault="001162E5" w:rsidP="00401A4C">
            <w:pPr>
              <w:spacing w:before="40" w:after="40"/>
              <w:rPr>
                <w:b/>
                <w:i/>
                <w:sz w:val="20"/>
                <w:szCs w:val="20"/>
              </w:rPr>
            </w:pPr>
            <w:r>
              <w:rPr>
                <w:b/>
                <w:i/>
                <w:sz w:val="20"/>
                <w:szCs w:val="20"/>
              </w:rPr>
              <w:t>Youth Smoking</w:t>
            </w:r>
          </w:p>
        </w:tc>
        <w:tc>
          <w:tcPr>
            <w:tcW w:w="1800" w:type="dxa"/>
            <w:vAlign w:val="center"/>
          </w:tcPr>
          <w:p w14:paraId="2E4412EB" w14:textId="77777777" w:rsidR="001162E5" w:rsidRPr="001162E5" w:rsidRDefault="001162E5" w:rsidP="00401A4C">
            <w:pPr>
              <w:spacing w:before="40" w:after="40"/>
              <w:jc w:val="center"/>
              <w:rPr>
                <w:b/>
                <w:noProof/>
                <w:sz w:val="20"/>
                <w:szCs w:val="20"/>
              </w:rPr>
            </w:pPr>
            <w:r>
              <w:rPr>
                <w:b/>
                <w:noProof/>
                <w:sz w:val="20"/>
                <w:szCs w:val="20"/>
              </w:rPr>
              <w:t>14.3%</w:t>
            </w:r>
          </w:p>
        </w:tc>
        <w:tc>
          <w:tcPr>
            <w:tcW w:w="1800" w:type="dxa"/>
            <w:vAlign w:val="center"/>
          </w:tcPr>
          <w:p w14:paraId="04968A6E" w14:textId="77777777" w:rsidR="001162E5" w:rsidRPr="001162E5" w:rsidRDefault="001162E5" w:rsidP="00401A4C">
            <w:pPr>
              <w:spacing w:before="40" w:after="40"/>
              <w:jc w:val="center"/>
              <w:rPr>
                <w:b/>
                <w:sz w:val="20"/>
                <w:szCs w:val="20"/>
              </w:rPr>
            </w:pPr>
            <w:r>
              <w:rPr>
                <w:b/>
                <w:sz w:val="20"/>
                <w:szCs w:val="20"/>
              </w:rPr>
              <w:t>5.3%</w:t>
            </w:r>
          </w:p>
        </w:tc>
        <w:tc>
          <w:tcPr>
            <w:tcW w:w="1800" w:type="dxa"/>
            <w:vAlign w:val="center"/>
          </w:tcPr>
          <w:p w14:paraId="1E495543" w14:textId="77777777" w:rsidR="001162E5" w:rsidRPr="001162E5" w:rsidRDefault="001162E5" w:rsidP="00401A4C">
            <w:pPr>
              <w:spacing w:before="40" w:after="40"/>
              <w:jc w:val="center"/>
              <w:rPr>
                <w:b/>
                <w:sz w:val="20"/>
                <w:szCs w:val="20"/>
              </w:rPr>
            </w:pPr>
            <w:r>
              <w:rPr>
                <w:b/>
                <w:sz w:val="20"/>
                <w:szCs w:val="20"/>
              </w:rPr>
              <w:t>9,030</w:t>
            </w:r>
          </w:p>
        </w:tc>
      </w:tr>
      <w:tr w:rsidR="00671147" w:rsidRPr="003435F7" w14:paraId="4779440F" w14:textId="77777777" w:rsidTr="00401A4C">
        <w:trPr>
          <w:jc w:val="center"/>
        </w:trPr>
        <w:tc>
          <w:tcPr>
            <w:tcW w:w="2880" w:type="dxa"/>
            <w:vAlign w:val="center"/>
          </w:tcPr>
          <w:p w14:paraId="291C463D" w14:textId="77777777" w:rsidR="00671147" w:rsidRPr="003435F7" w:rsidRDefault="00671147" w:rsidP="00401A4C">
            <w:pPr>
              <w:spacing w:before="40" w:after="40"/>
              <w:rPr>
                <w:b/>
                <w:i/>
                <w:sz w:val="20"/>
                <w:szCs w:val="20"/>
              </w:rPr>
            </w:pPr>
            <w:r w:rsidRPr="003435F7">
              <w:rPr>
                <w:b/>
                <w:i/>
                <w:sz w:val="20"/>
                <w:szCs w:val="20"/>
              </w:rPr>
              <w:t>Adult Smoking</w:t>
            </w:r>
          </w:p>
        </w:tc>
        <w:tc>
          <w:tcPr>
            <w:tcW w:w="1800" w:type="dxa"/>
            <w:vAlign w:val="center"/>
          </w:tcPr>
          <w:p w14:paraId="3CBF4D21" w14:textId="77777777" w:rsidR="00671147" w:rsidRPr="003435F7" w:rsidRDefault="001162E5" w:rsidP="00401A4C">
            <w:pPr>
              <w:spacing w:before="40" w:after="40"/>
              <w:jc w:val="center"/>
              <w:rPr>
                <w:b/>
                <w:sz w:val="20"/>
                <w:szCs w:val="20"/>
              </w:rPr>
            </w:pPr>
            <w:r>
              <w:rPr>
                <w:b/>
                <w:noProof/>
                <w:sz w:val="20"/>
                <w:szCs w:val="20"/>
              </w:rPr>
              <w:t>17.2%</w:t>
            </w:r>
          </w:p>
        </w:tc>
        <w:tc>
          <w:tcPr>
            <w:tcW w:w="1800" w:type="dxa"/>
            <w:vAlign w:val="center"/>
          </w:tcPr>
          <w:p w14:paraId="11FEC2F5" w14:textId="77777777" w:rsidR="00671147" w:rsidRPr="003435F7" w:rsidRDefault="001162E5" w:rsidP="00401A4C">
            <w:pPr>
              <w:spacing w:before="40" w:after="40"/>
              <w:jc w:val="center"/>
              <w:rPr>
                <w:b/>
                <w:sz w:val="20"/>
                <w:szCs w:val="20"/>
              </w:rPr>
            </w:pPr>
            <w:r>
              <w:rPr>
                <w:b/>
                <w:noProof/>
                <w:sz w:val="20"/>
                <w:szCs w:val="20"/>
              </w:rPr>
              <w:t>15.3%</w:t>
            </w:r>
          </w:p>
        </w:tc>
        <w:tc>
          <w:tcPr>
            <w:tcW w:w="1800" w:type="dxa"/>
            <w:vAlign w:val="center"/>
          </w:tcPr>
          <w:p w14:paraId="7589EDEB" w14:textId="77777777" w:rsidR="00671147" w:rsidRPr="003435F7" w:rsidRDefault="001162E5" w:rsidP="00401A4C">
            <w:pPr>
              <w:spacing w:before="40" w:after="40"/>
              <w:jc w:val="center"/>
              <w:rPr>
                <w:b/>
                <w:sz w:val="20"/>
                <w:szCs w:val="20"/>
              </w:rPr>
            </w:pPr>
            <w:r>
              <w:rPr>
                <w:b/>
                <w:sz w:val="20"/>
                <w:szCs w:val="20"/>
              </w:rPr>
              <w:t>25,410</w:t>
            </w:r>
          </w:p>
        </w:tc>
      </w:tr>
    </w:tbl>
    <w:p w14:paraId="1234DEAD" w14:textId="77777777" w:rsidR="00671147" w:rsidRDefault="00671147" w:rsidP="00BF2801">
      <w:pPr>
        <w:rPr>
          <w:sz w:val="18"/>
          <w:szCs w:val="18"/>
        </w:rPr>
      </w:pPr>
    </w:p>
    <w:p w14:paraId="114F438E" w14:textId="77777777" w:rsidR="00671147" w:rsidRDefault="00671147" w:rsidP="00BF2801">
      <w:pPr>
        <w:rPr>
          <w:sz w:val="18"/>
          <w:szCs w:val="18"/>
        </w:rPr>
      </w:pPr>
    </w:p>
    <w:p w14:paraId="28DF549C" w14:textId="77777777" w:rsidR="001162E5" w:rsidRDefault="001162E5" w:rsidP="001162E5">
      <w:r>
        <w:t xml:space="preserve">Because of these declines: </w:t>
      </w:r>
    </w:p>
    <w:p w14:paraId="1ABDBD17" w14:textId="77777777" w:rsidR="001162E5" w:rsidRDefault="001162E5" w:rsidP="001162E5">
      <w:pPr>
        <w:numPr>
          <w:ilvl w:val="0"/>
          <w:numId w:val="4"/>
        </w:numPr>
        <w:spacing w:before="120"/>
      </w:pPr>
      <w:r>
        <w:rPr>
          <w:b/>
          <w:noProof/>
        </w:rPr>
        <w:t>23,280</w:t>
      </w:r>
      <w:r>
        <w:t xml:space="preserve"> fewer kids alive today in </w:t>
      </w:r>
      <w:r>
        <w:rPr>
          <w:noProof/>
        </w:rPr>
        <w:t>Idaho</w:t>
      </w:r>
      <w:r>
        <w:t xml:space="preserve"> will grow up to be addicted adult smokers </w:t>
      </w:r>
    </w:p>
    <w:p w14:paraId="7C0BDBB7" w14:textId="77777777" w:rsidR="001162E5" w:rsidRDefault="001162E5" w:rsidP="001162E5">
      <w:pPr>
        <w:numPr>
          <w:ilvl w:val="0"/>
          <w:numId w:val="4"/>
        </w:numPr>
        <w:spacing w:before="120"/>
      </w:pPr>
      <w:r>
        <w:rPr>
          <w:b/>
          <w:noProof/>
        </w:rPr>
        <w:t>13,520</w:t>
      </w:r>
      <w:r>
        <w:t xml:space="preserve"> fewer of today’s residents in </w:t>
      </w:r>
      <w:r>
        <w:rPr>
          <w:noProof/>
        </w:rPr>
        <w:t>Idaho</w:t>
      </w:r>
      <w:r>
        <w:t xml:space="preserve"> will ultimately die prematurely from smoking</w:t>
      </w:r>
    </w:p>
    <w:p w14:paraId="6DF8FCCE" w14:textId="77777777" w:rsidR="001162E5" w:rsidRDefault="001162E5" w:rsidP="001162E5">
      <w:pPr>
        <w:rPr>
          <w:sz w:val="18"/>
          <w:szCs w:val="18"/>
        </w:rPr>
      </w:pPr>
    </w:p>
    <w:p w14:paraId="04075876" w14:textId="77777777" w:rsidR="001162E5" w:rsidRDefault="001162E5" w:rsidP="001162E5">
      <w:pPr>
        <w:rPr>
          <w:rFonts w:cs="Arial"/>
          <w:snapToGrid w:val="0"/>
          <w:szCs w:val="22"/>
        </w:rPr>
      </w:pPr>
      <w:r>
        <w:t xml:space="preserve">In addition, by </w:t>
      </w:r>
      <w:r>
        <w:rPr>
          <w:rFonts w:cs="Arial"/>
          <w:snapToGrid w:val="0"/>
          <w:szCs w:val="22"/>
        </w:rPr>
        <w:t xml:space="preserve">prompting current adult and youth smokers to quit, the state has locked in enormous savings over the lifetimes of each person stopped from future smoking.  Put simply, the lifetime health care costs of smokers total at least $21,000 more than nonsmokers, on average, despite the fact that smokers do not live as long, with a somewhat smaller difference between smokers and former smokers.  </w:t>
      </w:r>
    </w:p>
    <w:p w14:paraId="28D95074" w14:textId="77777777" w:rsidR="001162E5" w:rsidRDefault="001162E5" w:rsidP="001162E5">
      <w:pPr>
        <w:rPr>
          <w:rFonts w:cs="Arial"/>
          <w:snapToGrid w:val="0"/>
          <w:sz w:val="18"/>
          <w:szCs w:val="18"/>
        </w:rPr>
      </w:pPr>
    </w:p>
    <w:p w14:paraId="33F044B6" w14:textId="77777777" w:rsidR="001162E5" w:rsidRDefault="001162E5" w:rsidP="001162E5">
      <w:r>
        <w:t>The substantial ongoing improvements in public health from the smoking declines detailed above have secured the following reductions in health care costs:</w:t>
      </w:r>
    </w:p>
    <w:p w14:paraId="2388DA67" w14:textId="77777777" w:rsidR="001162E5" w:rsidRDefault="001162E5" w:rsidP="001162E5">
      <w:pP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6841"/>
        <w:gridCol w:w="1948"/>
      </w:tblGrid>
      <w:tr w:rsidR="001162E5" w14:paraId="3802B8D3" w14:textId="77777777" w:rsidTr="001162E5">
        <w:trPr>
          <w:jc w:val="center"/>
        </w:trPr>
        <w:tc>
          <w:tcPr>
            <w:tcW w:w="6841" w:type="dxa"/>
            <w:tcBorders>
              <w:top w:val="single" w:sz="4" w:space="0" w:color="auto"/>
              <w:left w:val="single" w:sz="4" w:space="0" w:color="auto"/>
              <w:bottom w:val="single" w:sz="4" w:space="0" w:color="auto"/>
              <w:right w:val="single" w:sz="4" w:space="0" w:color="auto"/>
            </w:tcBorders>
            <w:vAlign w:val="center"/>
            <w:hideMark/>
          </w:tcPr>
          <w:p w14:paraId="542F648E" w14:textId="77777777" w:rsidR="001162E5" w:rsidRDefault="001162E5">
            <w:pPr>
              <w:spacing w:before="40" w:after="40"/>
              <w:rPr>
                <w:b/>
                <w:i/>
                <w:sz w:val="20"/>
                <w:szCs w:val="20"/>
              </w:rPr>
            </w:pPr>
            <w:r>
              <w:rPr>
                <w:rFonts w:cs="Arial"/>
                <w:b/>
                <w:i/>
                <w:sz w:val="20"/>
                <w:szCs w:val="20"/>
              </w:rPr>
              <w:t>Future Health Cost Savings from Youth &amp; Adult Smoking Declines</w:t>
            </w:r>
          </w:p>
        </w:tc>
        <w:tc>
          <w:tcPr>
            <w:tcW w:w="1948" w:type="dxa"/>
            <w:tcBorders>
              <w:top w:val="single" w:sz="4" w:space="0" w:color="auto"/>
              <w:left w:val="single" w:sz="4" w:space="0" w:color="auto"/>
              <w:bottom w:val="single" w:sz="4" w:space="0" w:color="auto"/>
              <w:right w:val="single" w:sz="4" w:space="0" w:color="auto"/>
            </w:tcBorders>
            <w:vAlign w:val="center"/>
            <w:hideMark/>
          </w:tcPr>
          <w:p w14:paraId="39316BD6" w14:textId="77777777" w:rsidR="001162E5" w:rsidRDefault="001162E5" w:rsidP="001162E5">
            <w:pPr>
              <w:spacing w:before="40" w:after="40"/>
              <w:jc w:val="center"/>
              <w:rPr>
                <w:b/>
                <w:sz w:val="20"/>
                <w:szCs w:val="20"/>
              </w:rPr>
            </w:pPr>
            <w:r>
              <w:rPr>
                <w:b/>
                <w:noProof/>
                <w:sz w:val="20"/>
                <w:szCs w:val="20"/>
              </w:rPr>
              <w:t>$768.4</w:t>
            </w:r>
            <w:r>
              <w:rPr>
                <w:b/>
                <w:sz w:val="20"/>
                <w:szCs w:val="20"/>
              </w:rPr>
              <w:t xml:space="preserve"> million</w:t>
            </w:r>
          </w:p>
        </w:tc>
      </w:tr>
    </w:tbl>
    <w:p w14:paraId="5B794673" w14:textId="77777777" w:rsidR="000F7281" w:rsidRPr="006E08E4" w:rsidRDefault="000F7281" w:rsidP="00BF2801">
      <w:pPr>
        <w:rPr>
          <w:sz w:val="18"/>
          <w:szCs w:val="18"/>
        </w:rPr>
      </w:pPr>
    </w:p>
    <w:p w14:paraId="569094C6" w14:textId="77777777" w:rsidR="000F7281" w:rsidRDefault="000F7281" w:rsidP="000C4419">
      <w:pPr>
        <w:rPr>
          <w:rFonts w:cs="Arial"/>
          <w:szCs w:val="22"/>
        </w:rPr>
      </w:pPr>
      <w:r w:rsidRPr="00972CDD">
        <w:rPr>
          <w:rFonts w:cs="Arial"/>
          <w:szCs w:val="22"/>
        </w:rPr>
        <w:t xml:space="preserve">Tobacco use is the number one cause of preventable death in </w:t>
      </w:r>
      <w:r w:rsidR="001162E5">
        <w:rPr>
          <w:rFonts w:cs="Arial"/>
          <w:noProof/>
          <w:szCs w:val="22"/>
        </w:rPr>
        <w:t>Idaho</w:t>
      </w:r>
      <w:r>
        <w:rPr>
          <w:rFonts w:cs="Arial"/>
          <w:szCs w:val="22"/>
        </w:rPr>
        <w:t xml:space="preserve">, </w:t>
      </w:r>
      <w:r w:rsidRPr="00972CDD">
        <w:rPr>
          <w:rFonts w:cs="Arial"/>
          <w:szCs w:val="22"/>
        </w:rPr>
        <w:t xml:space="preserve">killing </w:t>
      </w:r>
      <w:r w:rsidR="001162E5">
        <w:rPr>
          <w:rFonts w:cs="Arial"/>
          <w:noProof/>
          <w:szCs w:val="22"/>
        </w:rPr>
        <w:t>1,800</w:t>
      </w:r>
      <w:r>
        <w:rPr>
          <w:rFonts w:cs="Arial"/>
          <w:szCs w:val="22"/>
        </w:rPr>
        <w:t xml:space="preserve"> </w:t>
      </w:r>
      <w:r w:rsidRPr="00972CDD">
        <w:rPr>
          <w:rFonts w:cs="Arial"/>
          <w:szCs w:val="22"/>
        </w:rPr>
        <w:t>people each year</w:t>
      </w:r>
      <w:r>
        <w:rPr>
          <w:rFonts w:cs="Arial"/>
          <w:szCs w:val="22"/>
        </w:rPr>
        <w:t>, while thousands of others suffer from smoking-caused disease and disability</w:t>
      </w:r>
      <w:r w:rsidRPr="00972CDD">
        <w:rPr>
          <w:rFonts w:cs="Arial"/>
          <w:szCs w:val="22"/>
        </w:rPr>
        <w:t xml:space="preserve">. </w:t>
      </w:r>
      <w:r>
        <w:rPr>
          <w:rFonts w:cs="Arial"/>
          <w:szCs w:val="22"/>
        </w:rPr>
        <w:t xml:space="preserve"> It is also a substantial drain on the state’s economy, costing the state </w:t>
      </w:r>
      <w:r w:rsidRPr="008555F9">
        <w:rPr>
          <w:rFonts w:cs="Arial"/>
          <w:noProof/>
          <w:szCs w:val="22"/>
        </w:rPr>
        <w:t>$</w:t>
      </w:r>
      <w:r w:rsidR="001162E5">
        <w:rPr>
          <w:rFonts w:cs="Arial"/>
          <w:noProof/>
          <w:szCs w:val="22"/>
        </w:rPr>
        <w:t>508 million</w:t>
      </w:r>
      <w:r>
        <w:rPr>
          <w:rFonts w:cs="Arial"/>
          <w:szCs w:val="22"/>
        </w:rPr>
        <w:t xml:space="preserve"> in </w:t>
      </w:r>
      <w:r w:rsidRPr="005550F7">
        <w:rPr>
          <w:rFonts w:cs="Arial"/>
          <w:szCs w:val="22"/>
        </w:rPr>
        <w:t>health</w:t>
      </w:r>
      <w:r>
        <w:rPr>
          <w:rFonts w:cs="Arial"/>
          <w:szCs w:val="22"/>
        </w:rPr>
        <w:t xml:space="preserve"> </w:t>
      </w:r>
      <w:r w:rsidRPr="005550F7">
        <w:rPr>
          <w:rFonts w:cs="Arial"/>
          <w:szCs w:val="22"/>
        </w:rPr>
        <w:t>care costs</w:t>
      </w:r>
      <w:r>
        <w:rPr>
          <w:rFonts w:cs="Arial"/>
          <w:szCs w:val="22"/>
        </w:rPr>
        <w:t xml:space="preserve"> every year. Providing significant funding</w:t>
      </w:r>
      <w:r w:rsidRPr="00537A1F">
        <w:rPr>
          <w:rFonts w:cs="Arial"/>
          <w:szCs w:val="22"/>
        </w:rPr>
        <w:t xml:space="preserve"> </w:t>
      </w:r>
      <w:r>
        <w:rPr>
          <w:rFonts w:cs="Arial"/>
          <w:szCs w:val="22"/>
        </w:rPr>
        <w:t xml:space="preserve">to statewide </w:t>
      </w:r>
      <w:r w:rsidRPr="00537A1F">
        <w:rPr>
          <w:rFonts w:cs="Arial"/>
          <w:szCs w:val="22"/>
        </w:rPr>
        <w:t xml:space="preserve">tobacco prevention </w:t>
      </w:r>
      <w:r>
        <w:rPr>
          <w:rFonts w:cs="Arial"/>
          <w:szCs w:val="22"/>
        </w:rPr>
        <w:t xml:space="preserve">and cessation </w:t>
      </w:r>
      <w:r w:rsidRPr="00537A1F">
        <w:rPr>
          <w:rFonts w:cs="Arial"/>
          <w:szCs w:val="22"/>
        </w:rPr>
        <w:t>program</w:t>
      </w:r>
      <w:r>
        <w:rPr>
          <w:rFonts w:cs="Arial"/>
          <w:szCs w:val="22"/>
        </w:rPr>
        <w:t>s</w:t>
      </w:r>
      <w:r w:rsidRPr="00537A1F">
        <w:rPr>
          <w:rFonts w:cs="Arial"/>
          <w:szCs w:val="22"/>
        </w:rPr>
        <w:t xml:space="preserve"> </w:t>
      </w:r>
      <w:r w:rsidRPr="00537A1F">
        <w:rPr>
          <w:rFonts w:cs="Arial"/>
          <w:snapToGrid w:val="0"/>
          <w:szCs w:val="22"/>
        </w:rPr>
        <w:t xml:space="preserve">would </w:t>
      </w:r>
      <w:r>
        <w:rPr>
          <w:rFonts w:cs="Arial"/>
          <w:snapToGrid w:val="0"/>
          <w:szCs w:val="22"/>
        </w:rPr>
        <w:t>prompt additional tobacco use declines and produce enormous</w:t>
      </w:r>
      <w:r w:rsidRPr="00537A1F">
        <w:rPr>
          <w:rFonts w:cs="Arial"/>
          <w:snapToGrid w:val="0"/>
          <w:szCs w:val="22"/>
        </w:rPr>
        <w:t xml:space="preserve"> public health and economic benefits.</w:t>
      </w:r>
      <w:r>
        <w:rPr>
          <w:rFonts w:cs="Arial"/>
          <w:szCs w:val="22"/>
        </w:rPr>
        <w:t xml:space="preserve"> </w:t>
      </w:r>
    </w:p>
    <w:p w14:paraId="03A85875" w14:textId="77777777" w:rsidR="000F7281" w:rsidRPr="000C4419" w:rsidRDefault="000F7281" w:rsidP="000C4419">
      <w:pPr>
        <w:jc w:val="center"/>
        <w:rPr>
          <w:i/>
          <w:sz w:val="18"/>
          <w:szCs w:val="18"/>
        </w:rPr>
      </w:pPr>
    </w:p>
    <w:p w14:paraId="6C5642E3" w14:textId="77777777" w:rsidR="000F7281" w:rsidRPr="00C514FE" w:rsidRDefault="000F7281" w:rsidP="000C4419">
      <w:pPr>
        <w:jc w:val="center"/>
        <w:rPr>
          <w:b/>
          <w:sz w:val="18"/>
          <w:szCs w:val="18"/>
        </w:rPr>
      </w:pPr>
      <w:r w:rsidRPr="00C514FE">
        <w:rPr>
          <w:b/>
          <w:sz w:val="18"/>
          <w:szCs w:val="18"/>
        </w:rPr>
        <w:t>For more on state investments in tobacco prevention and related smoking-decline benefits and savings, see:</w:t>
      </w:r>
    </w:p>
    <w:p w14:paraId="4450FC1F" w14:textId="77777777" w:rsidR="000F7281" w:rsidRDefault="00FB07B8" w:rsidP="00C514FE">
      <w:pPr>
        <w:jc w:val="center"/>
        <w:rPr>
          <w:sz w:val="18"/>
          <w:szCs w:val="18"/>
        </w:rPr>
      </w:pPr>
      <w:hyperlink r:id="rId5" w:history="1">
        <w:r w:rsidR="000F7281" w:rsidRPr="00C514FE">
          <w:rPr>
            <w:rStyle w:val="Hyperlink"/>
            <w:b/>
            <w:sz w:val="18"/>
            <w:szCs w:val="18"/>
          </w:rPr>
          <w:t>http://www.tobaccofreekids.org/facts_issues/fact_sheets/policies/prevention_us_state/</w:t>
        </w:r>
      </w:hyperlink>
    </w:p>
    <w:p w14:paraId="71E4FC43" w14:textId="77777777" w:rsidR="000F7281" w:rsidRPr="006E08E4" w:rsidRDefault="000F7281" w:rsidP="00C514FE">
      <w:pPr>
        <w:jc w:val="center"/>
        <w:rPr>
          <w:sz w:val="18"/>
          <w:szCs w:val="18"/>
        </w:rPr>
      </w:pPr>
    </w:p>
    <w:p w14:paraId="78AE8FB8" w14:textId="77777777" w:rsidR="000F7281" w:rsidRDefault="000F7281" w:rsidP="00A31077">
      <w:pPr>
        <w:rPr>
          <w:rFonts w:cs="Arial"/>
          <w:sz w:val="18"/>
          <w:szCs w:val="18"/>
        </w:rPr>
        <w:sectPr w:rsidR="000F7281" w:rsidSect="000F7281">
          <w:pgSz w:w="12240" w:h="15840" w:code="1"/>
          <w:pgMar w:top="1000" w:right="1200" w:bottom="1000" w:left="1200" w:header="720" w:footer="720" w:gutter="0"/>
          <w:pgNumType w:start="1"/>
          <w:cols w:space="720"/>
          <w:noEndnote/>
          <w:titlePg/>
          <w:docGrid w:linePitch="299"/>
        </w:sectPr>
      </w:pPr>
      <w:r w:rsidRPr="00745B61">
        <w:rPr>
          <w:b/>
          <w:i/>
          <w:sz w:val="18"/>
          <w:szCs w:val="18"/>
        </w:rPr>
        <w:t>Notes and Sources.</w:t>
      </w:r>
      <w:r w:rsidRPr="00745B61">
        <w:rPr>
          <w:sz w:val="18"/>
          <w:szCs w:val="18"/>
        </w:rPr>
        <w:t xml:space="preserve">  </w:t>
      </w:r>
      <w:r w:rsidRPr="00044D21">
        <w:rPr>
          <w:rFonts w:cs="Arial"/>
          <w:i/>
          <w:sz w:val="18"/>
          <w:szCs w:val="18"/>
        </w:rPr>
        <w:t>Behavioral Risk Factor Surveillance System</w:t>
      </w:r>
      <w:r w:rsidRPr="00044D21">
        <w:rPr>
          <w:rFonts w:cs="Arial"/>
          <w:sz w:val="18"/>
          <w:szCs w:val="18"/>
        </w:rPr>
        <w:t xml:space="preserve">. </w:t>
      </w:r>
      <w:r w:rsidRPr="00044D21">
        <w:rPr>
          <w:rFonts w:cs="Arial"/>
          <w:i/>
          <w:sz w:val="18"/>
          <w:szCs w:val="18"/>
        </w:rPr>
        <w:t>Youth Tobacco Survey</w:t>
      </w:r>
      <w:r w:rsidRPr="00044D21">
        <w:rPr>
          <w:rFonts w:cs="Arial"/>
          <w:sz w:val="18"/>
          <w:szCs w:val="18"/>
        </w:rPr>
        <w:t xml:space="preserve">, </w:t>
      </w:r>
      <w:r w:rsidRPr="00044D21">
        <w:rPr>
          <w:rFonts w:cs="Arial"/>
          <w:i/>
          <w:sz w:val="18"/>
          <w:szCs w:val="18"/>
        </w:rPr>
        <w:t>Youth Risk Behavioral Survey</w:t>
      </w:r>
      <w:r w:rsidRPr="00044D21">
        <w:rPr>
          <w:rFonts w:cs="Arial"/>
          <w:sz w:val="18"/>
          <w:szCs w:val="18"/>
        </w:rPr>
        <w:t xml:space="preserve"> or specific state youth smoking surveys.  </w:t>
      </w:r>
      <w:r w:rsidRPr="002468CA">
        <w:rPr>
          <w:rFonts w:cs="Arial"/>
          <w:sz w:val="18"/>
          <w:szCs w:val="18"/>
        </w:rPr>
        <w:t xml:space="preserve">Youth prevented from becoming adult smokers is calculated by applying the percent change in the state’s youth smoking rate to the estimate of youth projected to become adult smokers (which is based on adjusted CDC Behavioral Risk Factor Surveillance System (BRFSS) prevalence data for 18-25 year olds and U.S. census data for the population under 18 years old). Estimates of lives saved is calculated using CDC methodology presented in </w:t>
      </w:r>
      <w:r w:rsidRPr="00044D21">
        <w:rPr>
          <w:rFonts w:cs="Arial"/>
          <w:sz w:val="18"/>
        </w:rPr>
        <w:t xml:space="preserve">CDC, </w:t>
      </w:r>
      <w:r w:rsidRPr="00044D21">
        <w:rPr>
          <w:rFonts w:cs="Arial"/>
          <w:snapToGrid w:val="0"/>
          <w:color w:val="000000"/>
          <w:sz w:val="18"/>
        </w:rPr>
        <w:t xml:space="preserve">“Projected Smoking-Related Deaths Among Youth—United States,” </w:t>
      </w:r>
      <w:r w:rsidRPr="00044D21">
        <w:rPr>
          <w:rFonts w:cs="Arial"/>
          <w:i/>
          <w:snapToGrid w:val="0"/>
          <w:color w:val="000000"/>
          <w:sz w:val="18"/>
        </w:rPr>
        <w:t>MMWR</w:t>
      </w:r>
      <w:r w:rsidRPr="00044D21">
        <w:rPr>
          <w:rFonts w:cs="Arial"/>
          <w:snapToGrid w:val="0"/>
          <w:color w:val="000000"/>
          <w:sz w:val="18"/>
        </w:rPr>
        <w:t xml:space="preserve"> 45(44):971-974, November 11, 1996. </w:t>
      </w:r>
      <w:r w:rsidRPr="00044D21">
        <w:rPr>
          <w:rFonts w:cs="Arial"/>
          <w:sz w:val="18"/>
          <w:szCs w:val="18"/>
        </w:rPr>
        <w:t xml:space="preserve">Future health care savings from smoking reductions accrue over the lifetimes of those persons who quit or do not start. </w:t>
      </w:r>
      <w:r w:rsidRPr="008F5654">
        <w:rPr>
          <w:rFonts w:cs="Arial"/>
          <w:sz w:val="18"/>
          <w:szCs w:val="18"/>
        </w:rPr>
        <w:t>The lifetime health care costs of smokers total at least $21,000 more than nonsmokers, on average, despite the fact that smokers do not live as long</w:t>
      </w:r>
      <w:r w:rsidRPr="00745B61">
        <w:rPr>
          <w:rFonts w:cs="Arial"/>
          <w:snapToGrid w:val="0"/>
          <w:sz w:val="18"/>
          <w:szCs w:val="18"/>
        </w:rPr>
        <w:t>; but the average savings per each adult quitter are less than that because adult smokers have already been significantly harmed by their smoking and have already incurred or locked-in extra, smoking-caused health costs</w:t>
      </w:r>
      <w:r w:rsidRPr="008F5654">
        <w:rPr>
          <w:rFonts w:cs="Arial"/>
          <w:sz w:val="18"/>
          <w:szCs w:val="18"/>
        </w:rPr>
        <w:t xml:space="preserve">.  </w:t>
      </w:r>
      <w:r>
        <w:rPr>
          <w:rFonts w:cs="Arial"/>
          <w:sz w:val="18"/>
          <w:szCs w:val="18"/>
        </w:rPr>
        <w:t xml:space="preserve">See </w:t>
      </w:r>
      <w:r w:rsidRPr="00044D21">
        <w:rPr>
          <w:rFonts w:cs="Arial"/>
          <w:snapToGrid w:val="0"/>
          <w:sz w:val="18"/>
          <w:szCs w:val="18"/>
        </w:rPr>
        <w:t>Hodgson, TA, “Cigarette Smoking and Lifetime Medical Expenditures,”</w:t>
      </w:r>
      <w:r w:rsidRPr="00044D21">
        <w:rPr>
          <w:rFonts w:cs="Arial"/>
          <w:i/>
          <w:snapToGrid w:val="0"/>
          <w:sz w:val="18"/>
          <w:szCs w:val="18"/>
        </w:rPr>
        <w:t xml:space="preserve"> Milbank Quarterly</w:t>
      </w:r>
      <w:r w:rsidRPr="00044D21">
        <w:rPr>
          <w:rFonts w:cs="Arial"/>
          <w:snapToGrid w:val="0"/>
          <w:sz w:val="18"/>
          <w:szCs w:val="18"/>
        </w:rPr>
        <w:t xml:space="preserve">  70(1), 1992</w:t>
      </w:r>
      <w:r w:rsidRPr="00745B61">
        <w:rPr>
          <w:rFonts w:cs="Arial"/>
          <w:sz w:val="18"/>
          <w:szCs w:val="18"/>
        </w:rPr>
        <w:t xml:space="preserve">. </w:t>
      </w:r>
      <w:r>
        <w:rPr>
          <w:rFonts w:cs="Arial"/>
          <w:sz w:val="18"/>
          <w:szCs w:val="18"/>
        </w:rPr>
        <w:t xml:space="preserve">See also, </w:t>
      </w:r>
      <w:r w:rsidRPr="00745B61">
        <w:rPr>
          <w:rFonts w:cs="Arial"/>
          <w:sz w:val="18"/>
          <w:szCs w:val="18"/>
        </w:rPr>
        <w:t xml:space="preserve">Campaign for Tobacco-Free Kids factsheet, </w:t>
      </w:r>
      <w:r w:rsidRPr="00745B61">
        <w:rPr>
          <w:rStyle w:val="Strong"/>
          <w:b w:val="0"/>
          <w:i/>
          <w:sz w:val="18"/>
          <w:szCs w:val="18"/>
        </w:rPr>
        <w:t>Lifetime Healthcare Costs: Smokers v. Non-Smokers v. Former Smokers</w:t>
      </w:r>
      <w:r>
        <w:rPr>
          <w:rStyle w:val="Strong"/>
          <w:b w:val="0"/>
          <w:i/>
          <w:sz w:val="18"/>
          <w:szCs w:val="18"/>
        </w:rPr>
        <w:t xml:space="preserve">; </w:t>
      </w:r>
      <w:r w:rsidRPr="00745B61">
        <w:rPr>
          <w:rFonts w:cs="Arial"/>
          <w:sz w:val="18"/>
          <w:szCs w:val="18"/>
        </w:rPr>
        <w:t xml:space="preserve"> Warner, KE, et al., </w:t>
      </w:r>
      <w:r>
        <w:rPr>
          <w:rFonts w:cs="Arial"/>
          <w:sz w:val="18"/>
          <w:szCs w:val="18"/>
        </w:rPr>
        <w:t>“</w:t>
      </w:r>
      <w:r w:rsidRPr="00745B61">
        <w:rPr>
          <w:rFonts w:cs="Arial"/>
          <w:sz w:val="18"/>
          <w:szCs w:val="18"/>
        </w:rPr>
        <w:t>Medical Costs of Smoking in the United States: Estimates, Their Validity, and Their Implications,</w:t>
      </w:r>
      <w:r>
        <w:rPr>
          <w:rFonts w:cs="Arial"/>
          <w:sz w:val="18"/>
          <w:szCs w:val="18"/>
        </w:rPr>
        <w:t>”</w:t>
      </w:r>
      <w:r w:rsidRPr="00745B61">
        <w:rPr>
          <w:rFonts w:cs="Arial"/>
          <w:sz w:val="18"/>
          <w:szCs w:val="18"/>
        </w:rPr>
        <w:t xml:space="preserve"> </w:t>
      </w:r>
      <w:r w:rsidRPr="00745B61">
        <w:rPr>
          <w:rFonts w:cs="Arial"/>
          <w:i/>
          <w:sz w:val="18"/>
          <w:szCs w:val="18"/>
        </w:rPr>
        <w:t>Tobacco Control</w:t>
      </w:r>
      <w:r w:rsidRPr="00745B61">
        <w:rPr>
          <w:rFonts w:cs="Arial"/>
          <w:sz w:val="18"/>
          <w:szCs w:val="18"/>
        </w:rPr>
        <w:t xml:space="preserve"> 8(3):290-300, Autumn 1999. On average, the federal government reimburses the states for roughly 57% of their Medicaid program cost</w:t>
      </w:r>
      <w:r>
        <w:rPr>
          <w:rFonts w:cs="Arial"/>
          <w:sz w:val="18"/>
          <w:szCs w:val="18"/>
        </w:rPr>
        <w:t>s</w:t>
      </w:r>
      <w:r w:rsidRPr="00745B61">
        <w:rPr>
          <w:rFonts w:cs="Arial"/>
          <w:sz w:val="18"/>
          <w:szCs w:val="18"/>
        </w:rPr>
        <w:t>.</w:t>
      </w:r>
      <w:r>
        <w:rPr>
          <w:rFonts w:cs="Arial"/>
          <w:sz w:val="18"/>
          <w:szCs w:val="18"/>
        </w:rPr>
        <w:t xml:space="preserve">  </w:t>
      </w:r>
      <w:r w:rsidRPr="002468CA">
        <w:rPr>
          <w:rFonts w:cs="Arial"/>
          <w:sz w:val="18"/>
          <w:szCs w:val="18"/>
        </w:rPr>
        <w:t xml:space="preserve">CDC, </w:t>
      </w:r>
      <w:r w:rsidRPr="002468CA">
        <w:rPr>
          <w:rFonts w:cs="Arial"/>
          <w:i/>
          <w:sz w:val="18"/>
          <w:szCs w:val="18"/>
        </w:rPr>
        <w:t>Best Practices for Comprehensive Tobacco Control Programs</w:t>
      </w:r>
      <w:r w:rsidRPr="002468CA">
        <w:rPr>
          <w:rFonts w:cs="Arial"/>
          <w:sz w:val="18"/>
          <w:szCs w:val="18"/>
        </w:rPr>
        <w:t xml:space="preserve">, 2014, </w:t>
      </w:r>
      <w:hyperlink r:id="rId6" w:history="1">
        <w:r w:rsidRPr="002468CA">
          <w:rPr>
            <w:rStyle w:val="Hyperlink"/>
            <w:rFonts w:cs="Arial"/>
            <w:sz w:val="18"/>
            <w:szCs w:val="18"/>
          </w:rPr>
          <w:t>http://www.cdc.gov/tobacco/stateandcommunity/best_practices/</w:t>
        </w:r>
      </w:hyperlink>
      <w:r w:rsidRPr="002468CA">
        <w:rPr>
          <w:rFonts w:cs="Arial"/>
          <w:sz w:val="18"/>
          <w:szCs w:val="18"/>
        </w:rPr>
        <w:t>.</w:t>
      </w:r>
    </w:p>
    <w:p w14:paraId="5BCC8FEF" w14:textId="77777777" w:rsidR="000F7281" w:rsidRDefault="000F7281" w:rsidP="00A31077"/>
    <w:sectPr w:rsidR="000F7281" w:rsidSect="000F7281">
      <w:type w:val="continuous"/>
      <w:pgSz w:w="12240" w:h="15840" w:code="1"/>
      <w:pgMar w:top="1000" w:right="1200" w:bottom="1000" w:left="1200" w:header="720" w:footer="72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24AF"/>
    <w:multiLevelType w:val="hybridMultilevel"/>
    <w:tmpl w:val="F32ED5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B263B8"/>
    <w:multiLevelType w:val="hybridMultilevel"/>
    <w:tmpl w:val="B622C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62142F"/>
    <w:multiLevelType w:val="multilevel"/>
    <w:tmpl w:val="B622C4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AA"/>
    <w:rsid w:val="000015A7"/>
    <w:rsid w:val="00044D21"/>
    <w:rsid w:val="000829A0"/>
    <w:rsid w:val="000A75F2"/>
    <w:rsid w:val="000C4419"/>
    <w:rsid w:val="000D3761"/>
    <w:rsid w:val="000F7281"/>
    <w:rsid w:val="001162E5"/>
    <w:rsid w:val="0014585A"/>
    <w:rsid w:val="00150454"/>
    <w:rsid w:val="0018656F"/>
    <w:rsid w:val="00197A18"/>
    <w:rsid w:val="001B7AB4"/>
    <w:rsid w:val="001E2986"/>
    <w:rsid w:val="002255A8"/>
    <w:rsid w:val="002931FE"/>
    <w:rsid w:val="002A1EFB"/>
    <w:rsid w:val="002E6DF8"/>
    <w:rsid w:val="00306812"/>
    <w:rsid w:val="00322B8F"/>
    <w:rsid w:val="0034107A"/>
    <w:rsid w:val="003435F7"/>
    <w:rsid w:val="00391B29"/>
    <w:rsid w:val="003968B2"/>
    <w:rsid w:val="003A035D"/>
    <w:rsid w:val="003A0F9F"/>
    <w:rsid w:val="003B79CF"/>
    <w:rsid w:val="003C01A5"/>
    <w:rsid w:val="003C195C"/>
    <w:rsid w:val="003E06B1"/>
    <w:rsid w:val="00400303"/>
    <w:rsid w:val="00412C6C"/>
    <w:rsid w:val="00450644"/>
    <w:rsid w:val="00456B10"/>
    <w:rsid w:val="004B11F0"/>
    <w:rsid w:val="005148B5"/>
    <w:rsid w:val="005204AA"/>
    <w:rsid w:val="00524CF7"/>
    <w:rsid w:val="0055508A"/>
    <w:rsid w:val="005558F0"/>
    <w:rsid w:val="005915CE"/>
    <w:rsid w:val="005C77AA"/>
    <w:rsid w:val="005E1C9D"/>
    <w:rsid w:val="005E21F9"/>
    <w:rsid w:val="005F5418"/>
    <w:rsid w:val="00655C45"/>
    <w:rsid w:val="00671147"/>
    <w:rsid w:val="006C1B5D"/>
    <w:rsid w:val="006E08E4"/>
    <w:rsid w:val="0070218D"/>
    <w:rsid w:val="00745B61"/>
    <w:rsid w:val="00773A96"/>
    <w:rsid w:val="007873A1"/>
    <w:rsid w:val="007A36A6"/>
    <w:rsid w:val="007B6EF3"/>
    <w:rsid w:val="007E679D"/>
    <w:rsid w:val="00813529"/>
    <w:rsid w:val="00835A6C"/>
    <w:rsid w:val="008C773F"/>
    <w:rsid w:val="008D0658"/>
    <w:rsid w:val="008E3694"/>
    <w:rsid w:val="008E4763"/>
    <w:rsid w:val="008F5654"/>
    <w:rsid w:val="009073C7"/>
    <w:rsid w:val="00937964"/>
    <w:rsid w:val="009407AE"/>
    <w:rsid w:val="00960FDD"/>
    <w:rsid w:val="009B0064"/>
    <w:rsid w:val="009F4928"/>
    <w:rsid w:val="009F76F2"/>
    <w:rsid w:val="009F7EA0"/>
    <w:rsid w:val="00A25A65"/>
    <w:rsid w:val="00A31077"/>
    <w:rsid w:val="00A37996"/>
    <w:rsid w:val="00A612CB"/>
    <w:rsid w:val="00A709E8"/>
    <w:rsid w:val="00AC43E4"/>
    <w:rsid w:val="00AE055A"/>
    <w:rsid w:val="00B01C5B"/>
    <w:rsid w:val="00B25CA2"/>
    <w:rsid w:val="00B30345"/>
    <w:rsid w:val="00B413AD"/>
    <w:rsid w:val="00B66E94"/>
    <w:rsid w:val="00BE24FD"/>
    <w:rsid w:val="00BF2801"/>
    <w:rsid w:val="00C17A67"/>
    <w:rsid w:val="00C17EF1"/>
    <w:rsid w:val="00C514FE"/>
    <w:rsid w:val="00C867E7"/>
    <w:rsid w:val="00CC6A36"/>
    <w:rsid w:val="00CE26D3"/>
    <w:rsid w:val="00CE2BE3"/>
    <w:rsid w:val="00DA154C"/>
    <w:rsid w:val="00DD1178"/>
    <w:rsid w:val="00DE087E"/>
    <w:rsid w:val="00DE6CA1"/>
    <w:rsid w:val="00DE700F"/>
    <w:rsid w:val="00E414AF"/>
    <w:rsid w:val="00E42075"/>
    <w:rsid w:val="00E46551"/>
    <w:rsid w:val="00E662BB"/>
    <w:rsid w:val="00E814E8"/>
    <w:rsid w:val="00EB55BB"/>
    <w:rsid w:val="00EE152F"/>
    <w:rsid w:val="00F11868"/>
    <w:rsid w:val="00F961DD"/>
    <w:rsid w:val="00FB07B8"/>
    <w:rsid w:val="00FE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3A621BD"/>
  <w15:docId w15:val="{C18E911C-007C-4019-9FA9-49DAF9F9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928"/>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2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50644"/>
    <w:rPr>
      <w:color w:val="0000FF"/>
      <w:u w:val="single"/>
    </w:rPr>
  </w:style>
  <w:style w:type="character" w:styleId="Strong">
    <w:name w:val="Strong"/>
    <w:basedOn w:val="DefaultParagraphFont"/>
    <w:qFormat/>
    <w:rsid w:val="00450644"/>
    <w:rPr>
      <w:b/>
      <w:bCs/>
    </w:rPr>
  </w:style>
  <w:style w:type="paragraph" w:styleId="EndnoteText">
    <w:name w:val="endnote text"/>
    <w:basedOn w:val="Normal"/>
    <w:semiHidden/>
    <w:rsid w:val="00745B61"/>
    <w:rPr>
      <w:rFonts w:ascii="Times New Roman" w:hAnsi="Times New Roman"/>
      <w:sz w:val="20"/>
      <w:szCs w:val="20"/>
    </w:rPr>
  </w:style>
  <w:style w:type="paragraph" w:styleId="BalloonText">
    <w:name w:val="Balloon Text"/>
    <w:basedOn w:val="Normal"/>
    <w:link w:val="BalloonTextChar"/>
    <w:rsid w:val="008F5654"/>
    <w:rPr>
      <w:rFonts w:ascii="Tahoma" w:hAnsi="Tahoma" w:cs="Tahoma"/>
      <w:sz w:val="16"/>
      <w:szCs w:val="16"/>
    </w:rPr>
  </w:style>
  <w:style w:type="character" w:customStyle="1" w:styleId="BalloonTextChar">
    <w:name w:val="Balloon Text Char"/>
    <w:basedOn w:val="DefaultParagraphFont"/>
    <w:link w:val="BalloonText"/>
    <w:rsid w:val="008F56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043244">
      <w:bodyDiv w:val="1"/>
      <w:marLeft w:val="0"/>
      <w:marRight w:val="0"/>
      <w:marTop w:val="0"/>
      <w:marBottom w:val="0"/>
      <w:divBdr>
        <w:top w:val="none" w:sz="0" w:space="0" w:color="auto"/>
        <w:left w:val="none" w:sz="0" w:space="0" w:color="auto"/>
        <w:bottom w:val="none" w:sz="0" w:space="0" w:color="auto"/>
        <w:right w:val="none" w:sz="0" w:space="0" w:color="auto"/>
      </w:divBdr>
    </w:div>
    <w:div w:id="84439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tobacco/stateandcommunity/best_practices/" TargetMode="External"/><Relationship Id="rId5" Type="http://schemas.openxmlformats.org/officeDocument/2006/relationships/hyperlink" Target="http://www.tobaccofreekids.org/facts_issues/fact_sheets/policies/prevention_us_st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BENEFITS AND SAVINGS FROM SMOKING DECLINES IN ALABAMA</vt:lpstr>
    </vt:vector>
  </TitlesOfParts>
  <Company>CFTFK</Company>
  <LinksUpToDate>false</LinksUpToDate>
  <CharactersWithSpaces>3783</CharactersWithSpaces>
  <SharedDoc>false</SharedDoc>
  <HLinks>
    <vt:vector size="6" baseType="variant">
      <vt:variant>
        <vt:i4>6684715</vt:i4>
      </vt:variant>
      <vt:variant>
        <vt:i4>69</vt:i4>
      </vt:variant>
      <vt:variant>
        <vt:i4>0</vt:i4>
      </vt:variant>
      <vt:variant>
        <vt:i4>5</vt:i4>
      </vt:variant>
      <vt:variant>
        <vt:lpwstr>http://www.tobaccofreekids.org/facts_issues/fact_sheets/policies/prevention_us_state/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AND SAVINGS FROM SMOKING DECLINES IN ALABAMA</dc:title>
  <dc:creator>EricL</dc:creator>
  <cp:lastModifiedBy>Jerry Rudie</cp:lastModifiedBy>
  <cp:revision>2</cp:revision>
  <cp:lastPrinted>2015-01-21T19:27:00Z</cp:lastPrinted>
  <dcterms:created xsi:type="dcterms:W3CDTF">2021-02-09T17:28:00Z</dcterms:created>
  <dcterms:modified xsi:type="dcterms:W3CDTF">2021-02-09T17:28:00Z</dcterms:modified>
</cp:coreProperties>
</file>